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[object Object] by and between fgfdghf, Resident of null (hereinafter jointly and severally called the “LANDLORD”, which expression shall include their heirs, legal representatives, successors and assigns) of the one part: AND null, having permanent address at null and having Passport Number null issued from null on [object Object], (hereinafter called the “TENANT”, which expression shall include its legal representatives, successors and assigns) of the other part.</w:t>
      </w:r>
    </w:p>
    <w:p>
      <w:pPr>
        <w:pStyle w:val="Heading2"/>
      </w:pPr>
      <w:r>
        <w:t xml:space="preserve">WHEREAS kolkata the Landlord is the absolute owner of the fgfdghf consisting null Bedrooms, null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[object Object] of Agreement and shall be valid till 1 of Agreement. Thereafter, the same may be extended further on mutual consent of both the parties.</w:t>
      </w:r>
    </w:p>
    <w:p>
      <w:pPr>
        <w:pStyle w:val="Heading2"/>
      </w:pPr>
      <w:r>
        <w:t xml:space="preserve">2. That the Tenant shall pay to the Landlord a monthly rent of Rs.null (undefined Only).The rent shall be paid in advance on or before 7th of English Calendar Month.</w:t>
      </w:r>
    </w:p>
    <w:p>
      <w:pPr>
        <w:pStyle w:val="Heading2"/>
      </w:pPr>
      <w:r>
        <w:t xml:space="preserve">3. That the Tenant shall pay to the Landlord a monthly maintenance charge of Rs.
                    null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null the “Demised Property” and servicing &amp; repair will be the responsibility of the Tenant.</w:t>
      </w:r>
    </w:p>
    <w:p>
      <w:pPr>
        <w:pStyle w:val="Heading2"/>
      </w:pPr>
      <w:r>
        <w:t xml:space="preserve">5. The Tenant will pay to the Landlord an interest-free refundable security deposit of null equal to null
                    of Months Agreed in Negotiations vide cheque no null
                    dated [object Object]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null.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null
                    (null 
                    )and cannot be terminated by
                    either party. After the completion of lock-in-period, the Tenant can terminate the Rent Agreement by
                    giving null
                    Month(s)
                    (null
                    months) notice
                    to the Landlord or the rent in lieu of.
                    Likewise, after the completion of lock-in-period, the Landlord can also terminate the Rent Agreement
                    by giving null
                    months ( null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2020-09-25T17:33:12Z</dcterms:created>
  <dcterms:modified xsi:type="dcterms:W3CDTF">2020-09-25T17:33:12Z</dcterms:modified>
</cp:coreProperties>
</file>