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	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rPr>
          <w:b w:val="true"/>
          <w:bCs w:val="true"/>
        </w:rPr>
        <w:t xml:space="preserve">WHEREAS </w:t>
      </w:r>
      <w:r>
        <w:t xml:space="preserve">_____ the Landlord is the absolute owner of the _____ consisting _____ Bedrooms, _____ living room, family lounge, kitchen, servant room and inbuilt fittings &amp; fixtures and inventory of the equipment as detailed in </w:t>
      </w:r>
      <w:r>
        <w:rPr>
          <w:b w:val="true"/>
          <w:bCs w:val="true"/>
        </w:rPr>
        <w:t xml:space="preserve">annexure-I </w:t>
      </w:r>
      <w:r>
        <w:t xml:space="preserve">hereinafter referred to as </w:t>
      </w:r>
      <w:r>
        <w:rPr>
          <w:b w:val="true"/>
          <w:bCs w:val="true"/>
        </w:rPr>
        <w:t xml:space="preserve">"Demised Premises".</w:t>
      </w:r>
    </w:p>
    <w:p>
      <w:pPr>
        <w:pStyle w:val="Heading2"/>
      </w:pPr>
      <w:r>
        <w:rPr>
          <w:b w:val="true"/>
          <w:bCs w:val="true"/>
        </w:rPr>
        <w:t xml:space="preserve">WHEREAS </w:t>
      </w:r>
      <w:r>
        <w:t xml:space="preserve">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(bnv  months) notice to the Landlord or the rent in lieu of. Likewise, after the completion of lock-in-period, the Landlord can also terminate the Rent Agreement by giving bnv  months ( bnv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w:t>
      </w:r>
    </w:p>
    <w:p>
      <w:pPr>
        <w:pStyle w:val="Heading3"/>
      </w:pPr>
      <w:r>
        <w:t xml:space="preserve">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w:t>
      </w:r>
    </w:p>
    <w:p>
      <w:pPr>
        <w:pStyle w:val="Heading3"/>
      </w:pPr>
      <w:r>
        <w:t xml:space="preserve">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w:t>
      </w:r>
    </w:p>
    <w:p>
      <w:pPr>
        <w:pStyle w:val="Heading3"/>
      </w:pPr>
      <w:r>
        <w:t xml:space="preserve">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w:t>
      </w:r>
    </w:p>
    <w:p>
      <w:pPr>
        <w:pStyle w:val="Heading3"/>
      </w:pPr>
      <w:r>
        <w:t xml:space="preserve">d) The Landlord shall acknowledge and give valid receipts for each payment made by the Tenant to the Landlord, which shall be treated as conclusive proof of such payments.</w:t>
      </w:r>
    </w:p>
    <w:p>
      <w:pPr>
        <w:pStyle w:val="Heading3"/>
      </w:pPr>
      <w:r>
        <w:t xml:space="preserve">e) The premises is free from all encumbrances and have not entered into any agreement or arrangement for disposing or dealing with the premises or any part thereof/or the Landlord’s title, right, and interest in the demised premises in any manner.</w:t>
      </w:r>
    </w:p>
    <w:p>
      <w:pPr>
        <w:pStyle w:val="Heading3"/>
      </w:pPr>
      <w:r>
        <w:t xml:space="preserve">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w:t>
      </w:r>
    </w:p>
    <w:p>
      <w:pPr>
        <w:pStyle w:val="Heading3"/>
      </w:pPr>
      <w:r>
        <w:t xml:space="preserve">g) The Landlord represents that the Demised Premises is free from all construction defect including but not limited to all moisture related construction defects such as leakage, cracks in house walls including that of compound walls, breakage of floor tiles, etc.</w:t>
      </w:r>
    </w:p>
    <w:p>
      <w:pPr>
        <w:pStyle w:val="Heading3"/>
      </w:pPr>
      <w:r>
        <w:t xml:space="preserve">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w:t>
      </w:r>
    </w:p>
    <w:p>
      <w:pPr>
        <w:pStyle w:val="Heading2"/>
      </w:pPr>
      <w:r>
        <w:t xml:space="preserve">IN WITNESS WHEREOF the parties hereto have executed these presents on the day and year.</w:t>
      </w:r>
    </w:p>
    <w:p>
      <w:pPr>
        <w:pStyle w:val="Heading4"/>
      </w:pPr>
      <w:r>
        <w:t xml:space="preserve">Landlord                                                                                          Tenant</w:t>
      </w:r>
    </w:p>
    <w:p>
      <w:pPr>
        <w:pStyle w:val="Heading4"/>
      </w:pPr>
      <w:r>
        <w:t xml:space="preserve">WITNESS 1:</w:t>
      </w:r>
    </w:p>
    <w:p>
      <w:pPr>
        <w:pStyle w:val="Heading4"/>
      </w:pPr>
      <w:r>
        <w:t xml:space="preserve">WITNESS 2:</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950"/>
    </w:pPr>
    <w:rPr>
      <w:b w:val="true"/>
      <w:bCs w:val="true"/>
      <w:color w:val="black"/>
      <w:sz w:val="36"/>
      <w:szCs w:val="36"/>
      <w:rFonts w:ascii="Calibri" w:cs="Calibri" w:eastAsia="Calibri" w:hAnsi="Calibri"/>
    </w:rPr>
    <w:basedOn w:val="Normal"/>
    <w:next w:val="Normal"/>
    <w:qFormat/>
  </w:style>
  <w:style w:type="paragraph" w:styleId="Heading2">
    <w:name w:val="Heading 2"/>
    <w:pPr>
      <w:spacing w:line="400" w:before="650"/>
      <w:jc w:val="both"/>
    </w:pPr>
    <w:rPr>
      <w:sz w:val="24"/>
      <w:szCs w:val="24"/>
      <w:rFonts w:ascii="Calibri" w:cs="Calibri" w:eastAsia="Calibri" w:hAnsi="Calibri"/>
    </w:rPr>
    <w:basedOn w:val="Normal"/>
    <w:next w:val="Normal"/>
    <w:qFormat/>
  </w:style>
  <w:style w:type="paragraph" w:styleId="Heading3">
    <w:name w:val="Heading 3"/>
    <w:pPr>
      <w:spacing w:line="400" w:before="200"/>
      <w:jc w:val="both"/>
      <w:ind w:left="500"/>
    </w:pPr>
    <w:rPr>
      <w:sz w:val="24"/>
      <w:szCs w:val="24"/>
      <w:rFonts w:ascii="Calibri" w:cs="Calibri" w:eastAsia="Calibri" w:hAnsi="Calibri"/>
    </w:rPr>
    <w:basedOn w:val="Normal"/>
    <w:next w:val="Normal"/>
    <w:qFormat/>
  </w:style>
  <w:style w:type="paragraph" w:styleId="Heading4">
    <w:name w:val="Heading 4"/>
    <w:pPr>
      <w:spacing w:line="400" w:before="1500"/>
      <w:jc w:val="left"/>
    </w:pPr>
    <w:rPr>
      <w:sz w:val="24"/>
      <w:szCs w:val="24"/>
      <w:rFonts w:ascii="Calibri" w:cs="Calibri" w:eastAsia="Calibri" w:hAnsi="Calibri"/>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2"/>
      <w:szCs w:val="22"/>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2021-01-12T12:48:12Z</dcterms:created>
  <dcterms:modified xsi:type="dcterms:W3CDTF">2021-01-12T12:48:12Z</dcterms:modified>
</cp:coreProperties>
</file>